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FA" w:rsidRDefault="00C557FA" w:rsidP="00C557FA">
      <w:pPr>
        <w:spacing w:before="3" w:after="0" w:line="260" w:lineRule="exact"/>
        <w:rPr>
          <w:sz w:val="26"/>
          <w:szCs w:val="26"/>
        </w:rPr>
      </w:pP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rPr>
        <w:t>DEPARTMENT OF BUILDING</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rPr>
        <w:t>INSPECTION DIVISION</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Address</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color w:val="808080" w:themeColor="background1" w:themeShade="80"/>
        </w:rPr>
        <w:t>City, State</w:t>
      </w:r>
      <w:r w:rsidRPr="00894CB5">
        <w:rPr>
          <w:rFonts w:ascii="Times New Roman" w:hAnsi="Times New Roman" w:cs="Times New Roman"/>
          <w:b/>
          <w:bCs/>
        </w:rPr>
        <w:t xml:space="preserve"> </w:t>
      </w:r>
      <w:r w:rsidRPr="00894CB5">
        <w:rPr>
          <w:rFonts w:ascii="Times New Roman" w:hAnsi="Times New Roman" w:cs="Times New Roman"/>
          <w:b/>
          <w:bCs/>
          <w:color w:val="808080" w:themeColor="background1" w:themeShade="80"/>
        </w:rPr>
        <w:t>00000</w:t>
      </w:r>
    </w:p>
    <w:p w:rsidR="00342929" w:rsidRPr="00894CB5" w:rsidRDefault="00342929" w:rsidP="00342929">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Phone Contact</w:t>
      </w:r>
    </w:p>
    <w:p w:rsidR="00342929" w:rsidRPr="00894CB5" w:rsidRDefault="00342929" w:rsidP="00342929">
      <w:pPr>
        <w:spacing w:before="10" w:after="0" w:line="240" w:lineRule="auto"/>
        <w:ind w:right="40"/>
        <w:jc w:val="right"/>
        <w:rPr>
          <w:rFonts w:ascii="Times New Roman" w:eastAsia="Arial" w:hAnsi="Times New Roman" w:cs="Times New Roman"/>
          <w:color w:val="808080" w:themeColor="background1" w:themeShade="80"/>
        </w:rPr>
      </w:pPr>
      <w:bookmarkStart w:id="0" w:name="_GoBack"/>
      <w:bookmarkEnd w:id="0"/>
      <w:r w:rsidRPr="00894CB5">
        <w:rPr>
          <w:rFonts w:ascii="Times New Roman" w:hAnsi="Times New Roman" w:cs="Times New Roman"/>
          <w:b/>
          <w:bCs/>
          <w:color w:val="808080" w:themeColor="background1" w:themeShade="80"/>
        </w:rPr>
        <w:t>Email Contact</w:t>
      </w:r>
    </w:p>
    <w:p w:rsidR="00342929" w:rsidRDefault="00342929" w:rsidP="00342929">
      <w:pPr>
        <w:spacing w:after="0" w:line="240" w:lineRule="auto"/>
        <w:ind w:right="-30"/>
        <w:jc w:val="center"/>
        <w:rPr>
          <w:rFonts w:ascii="Times New Roman" w:eastAsia="Minion Pro" w:hAnsi="Times New Roman" w:cs="Times New Roman"/>
          <w:b/>
          <w:bCs/>
          <w:sz w:val="28"/>
          <w:szCs w:val="28"/>
        </w:rPr>
      </w:pPr>
    </w:p>
    <w:p w:rsidR="00C557FA" w:rsidRPr="00342929" w:rsidRDefault="00C557FA" w:rsidP="00342929">
      <w:pPr>
        <w:spacing w:after="0" w:line="240" w:lineRule="auto"/>
        <w:ind w:right="-30"/>
        <w:jc w:val="center"/>
        <w:rPr>
          <w:rFonts w:ascii="Times New Roman" w:eastAsia="Minion Pro" w:hAnsi="Times New Roman" w:cs="Times New Roman"/>
          <w:sz w:val="28"/>
          <w:szCs w:val="28"/>
        </w:rPr>
      </w:pPr>
      <w:r w:rsidRPr="00342929">
        <w:rPr>
          <w:rFonts w:ascii="Times New Roman" w:eastAsia="Minion Pro" w:hAnsi="Times New Roman" w:cs="Times New Roman"/>
          <w:b/>
          <w:bCs/>
          <w:sz w:val="28"/>
          <w:szCs w:val="28"/>
        </w:rPr>
        <w:t>Approval Requirements Check Sheet</w:t>
      </w:r>
    </w:p>
    <w:p w:rsidR="00C557FA" w:rsidRPr="00342929" w:rsidRDefault="00C557FA" w:rsidP="00342929">
      <w:pPr>
        <w:spacing w:after="0" w:line="240" w:lineRule="auto"/>
        <w:rPr>
          <w:rFonts w:ascii="Times New Roman" w:hAnsi="Times New Roman" w:cs="Times New Roman"/>
          <w:sz w:val="24"/>
          <w:szCs w:val="24"/>
        </w:rPr>
      </w:pPr>
    </w:p>
    <w:p w:rsidR="00C557FA" w:rsidRPr="00342929" w:rsidRDefault="00C557FA" w:rsidP="00342929">
      <w:pPr>
        <w:spacing w:after="0" w:line="240" w:lineRule="auto"/>
        <w:jc w:val="both"/>
        <w:rPr>
          <w:rFonts w:ascii="Times New Roman" w:eastAsia="Minion Pro" w:hAnsi="Times New Roman" w:cs="Times New Roman"/>
          <w:sz w:val="24"/>
          <w:szCs w:val="24"/>
        </w:rPr>
      </w:pPr>
      <w:r w:rsidRPr="00342929">
        <w:rPr>
          <w:rFonts w:ascii="Times New Roman" w:eastAsia="Minion Pro" w:hAnsi="Times New Roman" w:cs="Times New Roman"/>
          <w:sz w:val="24"/>
          <w:szCs w:val="24"/>
        </w:rPr>
        <w:t>An acceptance review of those agencies requesting listing as special inspection and/or testing agencies will include the following list of tasks. Use this check sheet to verify inclusion of material substantiating skills and/or experience in the following categories:</w:t>
      </w:r>
    </w:p>
    <w:p w:rsidR="00DA6FD4" w:rsidRPr="00342929" w:rsidRDefault="00DA6FD4" w:rsidP="00342929">
      <w:pPr>
        <w:spacing w:after="0" w:line="240" w:lineRule="auto"/>
        <w:ind w:left="462"/>
        <w:jc w:val="both"/>
        <w:rPr>
          <w:rFonts w:ascii="Times New Roman" w:eastAsia="Minion Pro" w:hAnsi="Times New Roman" w:cs="Times New Roman"/>
          <w:sz w:val="24"/>
          <w:szCs w:val="24"/>
        </w:rPr>
      </w:pP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MS PGothic" w:eastAsia="MS PGothic" w:hAnsi="MS PGothic" w:cs="MS PGothic"/>
          <w:sz w:val="28"/>
          <w:szCs w:val="28"/>
        </w:rPr>
        <w:t xml:space="preserve">  </w:t>
      </w:r>
      <w:r w:rsidR="00C557FA" w:rsidRPr="00342929">
        <w:rPr>
          <w:rFonts w:ascii="Times New Roman" w:eastAsia="Minion Pro" w:hAnsi="Times New Roman" w:cs="Times New Roman"/>
          <w:sz w:val="24"/>
          <w:szCs w:val="24"/>
        </w:rPr>
        <w:t xml:space="preserve">All elements of inspection and/or testing listed in the manual that the agency has the interest and ability to </w:t>
      </w:r>
      <w:proofErr w:type="gramStart"/>
      <w:r w:rsidR="00C557FA" w:rsidRPr="00342929">
        <w:rPr>
          <w:rFonts w:ascii="Times New Roman" w:eastAsia="Minion Pro" w:hAnsi="Times New Roman" w:cs="Times New Roman"/>
          <w:sz w:val="24"/>
          <w:szCs w:val="24"/>
        </w:rPr>
        <w:t>perform,</w:t>
      </w:r>
      <w:proofErr w:type="gramEnd"/>
      <w:r w:rsidR="00C557FA" w:rsidRPr="00342929">
        <w:rPr>
          <w:rFonts w:ascii="Times New Roman" w:eastAsia="Minion Pro" w:hAnsi="Times New Roman" w:cs="Times New Roman"/>
          <w:sz w:val="24"/>
          <w:szCs w:val="24"/>
        </w:rPr>
        <w:t xml:space="preserve"> designated individually.</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Agency capable of certifying to the building official that components of off-site or</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 xml:space="preserve">on-site constructed and/or fabricated/manufactured products meet </w:t>
      </w:r>
      <w:r w:rsidR="00C557FA" w:rsidRPr="00342929">
        <w:rPr>
          <w:rFonts w:ascii="Times New Roman" w:eastAsia="Minion Pro" w:hAnsi="Times New Roman" w:cs="Times New Roman"/>
          <w:b/>
          <w:bCs/>
          <w:sz w:val="24"/>
          <w:szCs w:val="24"/>
        </w:rPr>
        <w:t xml:space="preserve">[JURISDICTION] </w:t>
      </w:r>
      <w:r w:rsidR="00C557FA" w:rsidRPr="00342929">
        <w:rPr>
          <w:rFonts w:ascii="Times New Roman" w:eastAsia="Minion Pro" w:hAnsi="Times New Roman" w:cs="Times New Roman"/>
          <w:sz w:val="24"/>
          <w:szCs w:val="24"/>
        </w:rPr>
        <w:t xml:space="preserve">code, approved plans and project documents. Each special inspector identified as a member of the agency staff shall have proven experience in the inspection of items listed in Section </w:t>
      </w:r>
      <w:r w:rsidR="00C557FA" w:rsidRPr="00342929">
        <w:rPr>
          <w:rFonts w:ascii="Times New Roman" w:eastAsia="Minion Pro" w:hAnsi="Times New Roman" w:cs="Times New Roman"/>
          <w:b/>
          <w:bCs/>
          <w:sz w:val="24"/>
          <w:szCs w:val="24"/>
        </w:rPr>
        <w:t xml:space="preserve">[CODE SECTIONS] </w:t>
      </w:r>
      <w:r w:rsidR="00C557FA" w:rsidRPr="00342929">
        <w:rPr>
          <w:rFonts w:ascii="Times New Roman" w:eastAsia="Minion Pro" w:hAnsi="Times New Roman" w:cs="Times New Roman"/>
          <w:sz w:val="24"/>
          <w:szCs w:val="24"/>
        </w:rPr>
        <w:t xml:space="preserve">of the </w:t>
      </w:r>
      <w:r w:rsidR="00C557FA" w:rsidRPr="00342929">
        <w:rPr>
          <w:rFonts w:ascii="Times New Roman" w:eastAsia="Minion Pro" w:hAnsi="Times New Roman" w:cs="Times New Roman"/>
          <w:b/>
          <w:bCs/>
          <w:sz w:val="24"/>
          <w:szCs w:val="24"/>
        </w:rPr>
        <w:t>[NAME OF CODE USED]</w:t>
      </w:r>
      <w:r w:rsidR="00C557FA"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b/>
          <w:bCs/>
          <w:sz w:val="24"/>
          <w:szCs w:val="24"/>
        </w:rPr>
        <w:t xml:space="preserve">[JURISDICTION] </w:t>
      </w:r>
      <w:r w:rsidR="00C557FA" w:rsidRPr="00342929">
        <w:rPr>
          <w:rFonts w:ascii="Times New Roman" w:eastAsia="Minion Pro" w:hAnsi="Times New Roman" w:cs="Times New Roman"/>
          <w:sz w:val="24"/>
          <w:szCs w:val="24"/>
        </w:rPr>
        <w:t xml:space="preserve">will evaluate each individual inspector’s qualifications and return a list of approved inspectors at the time of agency approval. All inspection personnel must be listed and approved by the </w:t>
      </w:r>
      <w:r w:rsidR="00C557FA" w:rsidRPr="00342929">
        <w:rPr>
          <w:rFonts w:ascii="Times New Roman" w:eastAsia="Minion Pro" w:hAnsi="Times New Roman" w:cs="Times New Roman"/>
          <w:b/>
          <w:bCs/>
          <w:sz w:val="24"/>
          <w:szCs w:val="24"/>
        </w:rPr>
        <w:t xml:space="preserve">[JURISDICTION]. </w:t>
      </w:r>
      <w:r w:rsidR="00C557FA" w:rsidRPr="00342929">
        <w:rPr>
          <w:rFonts w:ascii="Times New Roman" w:eastAsia="Minion Pro" w:hAnsi="Times New Roman" w:cs="Times New Roman"/>
          <w:i/>
          <w:sz w:val="24"/>
          <w:szCs w:val="24"/>
        </w:rPr>
        <w:t xml:space="preserve">Inspection personnel that are new to an agency must be evaluated, approved and listed by </w:t>
      </w:r>
      <w:r w:rsidR="00C557FA" w:rsidRPr="00342929">
        <w:rPr>
          <w:rFonts w:ascii="Times New Roman" w:eastAsia="Minion Pro" w:hAnsi="Times New Roman" w:cs="Times New Roman"/>
          <w:b/>
          <w:bCs/>
          <w:sz w:val="24"/>
          <w:szCs w:val="24"/>
        </w:rPr>
        <w:t xml:space="preserve">[JURISDICTION] </w:t>
      </w:r>
      <w:r w:rsidR="00C557FA" w:rsidRPr="00342929">
        <w:rPr>
          <w:rFonts w:ascii="Times New Roman" w:eastAsia="Minion Pro" w:hAnsi="Times New Roman" w:cs="Times New Roman"/>
          <w:i/>
          <w:sz w:val="24"/>
          <w:szCs w:val="24"/>
        </w:rPr>
        <w:t>before being assigned to a project</w:t>
      </w:r>
      <w:r w:rsidR="00C557FA" w:rsidRPr="00342929">
        <w:rPr>
          <w:rFonts w:ascii="Times New Roman" w:eastAsia="Minion Pro" w:hAnsi="Times New Roman" w:cs="Times New Roman"/>
          <w:sz w:val="24"/>
          <w:szCs w:val="24"/>
        </w:rPr>
        <w:t>. This requirement applies to those inspectors who perform inspection services at the job site or for the purpose of evaluating fabricated/manufactured products away from the project.</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 xml:space="preserve">All structural steel and welding inspectors qualified by </w:t>
      </w:r>
      <w:r w:rsidR="00C557FA" w:rsidRPr="00342929">
        <w:rPr>
          <w:rFonts w:ascii="Times New Roman" w:eastAsia="Minion Pro" w:hAnsi="Times New Roman" w:cs="Times New Roman"/>
          <w:b/>
          <w:bCs/>
          <w:sz w:val="24"/>
          <w:szCs w:val="24"/>
        </w:rPr>
        <w:t>[CODE GROUP]</w:t>
      </w:r>
      <w:r w:rsidR="00C557FA" w:rsidRPr="00342929">
        <w:rPr>
          <w:rFonts w:ascii="Times New Roman" w:eastAsia="Minion Pro" w:hAnsi="Times New Roman" w:cs="Times New Roman"/>
          <w:sz w:val="24"/>
          <w:szCs w:val="24"/>
        </w:rPr>
        <w:t>, AWS or, as</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appropriate, to the level required by the service performed. All AWS certified associates must work under the direction of a certified AWS inspector. Welder certification and qualification testing must be performed by an AWS certified welding inspector.</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 xml:space="preserve">Personnel performing nondestructive </w:t>
      </w:r>
      <w:r w:rsidR="00342929">
        <w:rPr>
          <w:rFonts w:ascii="Times New Roman" w:eastAsia="Minion Pro" w:hAnsi="Times New Roman" w:cs="Times New Roman"/>
          <w:sz w:val="24"/>
          <w:szCs w:val="24"/>
        </w:rPr>
        <w:t>examination (NDE) qualified for the</w:t>
      </w:r>
      <w:r w:rsidR="00C557FA" w:rsidRPr="00342929">
        <w:rPr>
          <w:rFonts w:ascii="Times New Roman" w:eastAsia="Minion Pro" w:hAnsi="Times New Roman" w:cs="Times New Roman"/>
          <w:sz w:val="24"/>
          <w:szCs w:val="24"/>
        </w:rPr>
        <w:t xml:space="preserve"> NDE</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 xml:space="preserve">methods they will utilize in accordance with the </w:t>
      </w:r>
      <w:proofErr w:type="gramStart"/>
      <w:r w:rsidR="00C557FA" w:rsidRPr="00342929">
        <w:rPr>
          <w:rFonts w:ascii="Times New Roman" w:eastAsia="Minion Pro" w:hAnsi="Times New Roman" w:cs="Times New Roman"/>
          <w:sz w:val="24"/>
          <w:szCs w:val="24"/>
        </w:rPr>
        <w:t>agency’s</w:t>
      </w:r>
      <w:proofErr w:type="gramEnd"/>
      <w:r w:rsidR="00C557FA" w:rsidRPr="00342929">
        <w:rPr>
          <w:rFonts w:ascii="Times New Roman" w:eastAsia="Minion Pro" w:hAnsi="Times New Roman" w:cs="Times New Roman"/>
          <w:sz w:val="24"/>
          <w:szCs w:val="24"/>
        </w:rPr>
        <w:t xml:space="preserve"> approved quality control manual.</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Testing technicians shall be certified to NICET or other special categories required by</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the approved plans.</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 xml:space="preserve">Engineers shall be licensed by the state of </w:t>
      </w:r>
      <w:r w:rsidR="00C557FA" w:rsidRPr="00342929">
        <w:rPr>
          <w:rFonts w:ascii="Times New Roman" w:eastAsia="Minion Pro" w:hAnsi="Times New Roman" w:cs="Times New Roman"/>
          <w:b/>
          <w:bCs/>
          <w:sz w:val="24"/>
          <w:szCs w:val="24"/>
        </w:rPr>
        <w:t xml:space="preserve">[NAME OF STATE] </w:t>
      </w:r>
      <w:r w:rsidR="00C557FA" w:rsidRPr="00342929">
        <w:rPr>
          <w:rFonts w:ascii="Times New Roman" w:eastAsia="Minion Pro" w:hAnsi="Times New Roman" w:cs="Times New Roman"/>
          <w:sz w:val="24"/>
          <w:szCs w:val="24"/>
        </w:rPr>
        <w:t>in the area of expertise</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for which they will be providing skills, judgment and reports.</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C557FA" w:rsidRPr="00342929">
        <w:rPr>
          <w:rFonts w:ascii="Times New Roman" w:eastAsia="MS PGothic" w:hAnsi="Times New Roman" w:cs="Times New Roman"/>
          <w:sz w:val="24"/>
          <w:szCs w:val="24"/>
        </w:rPr>
        <w:t xml:space="preserve"> </w:t>
      </w:r>
      <w:r w:rsid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Approved agency manuals must reflect the requirements contained within AUNT</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sz w:val="24"/>
          <w:szCs w:val="24"/>
        </w:rPr>
        <w:t xml:space="preserve">recommended practices for nondestructive personnel qualification and certification, NT-TC-1A, supplements A through D on radiographic, magnetic particle, ultrasonic and liquid penetrant test methods, respectively. Only personnel qualified for NDT Level II may perform nondestructive inspections on welds or base material. Personnel presently qualified for NDT Level III may perform nondestructive tests, provided that they have previously been certified for NDT Level II. </w:t>
      </w:r>
      <w:r w:rsidR="00C557FA" w:rsidRPr="00342929">
        <w:rPr>
          <w:rFonts w:ascii="Times New Roman" w:eastAsia="Minion Pro" w:hAnsi="Times New Roman" w:cs="Times New Roman"/>
          <w:b/>
          <w:bCs/>
          <w:sz w:val="24"/>
          <w:szCs w:val="24"/>
        </w:rPr>
        <w:t xml:space="preserve">[JURISDICTION] </w:t>
      </w:r>
      <w:r w:rsidR="00C557FA" w:rsidRPr="00342929">
        <w:rPr>
          <w:rFonts w:ascii="Times New Roman" w:eastAsia="Minion Pro" w:hAnsi="Times New Roman" w:cs="Times New Roman"/>
          <w:sz w:val="24"/>
          <w:szCs w:val="24"/>
        </w:rPr>
        <w:t>may require NDE personnel to be qualified by performance tests.</w:t>
      </w:r>
    </w:p>
    <w:p w:rsidR="00C557FA" w:rsidRPr="00342929" w:rsidRDefault="00DA6FD4" w:rsidP="00342929">
      <w:pPr>
        <w:spacing w:after="0" w:line="240" w:lineRule="auto"/>
        <w:ind w:left="360" w:hanging="360"/>
        <w:jc w:val="both"/>
        <w:rPr>
          <w:rFonts w:ascii="Times New Roman" w:eastAsia="Minion Pro" w:hAnsi="Times New Roman" w:cs="Times New Roman"/>
          <w:sz w:val="24"/>
          <w:szCs w:val="24"/>
        </w:rPr>
      </w:pPr>
      <w:r w:rsidRPr="00342929">
        <w:rPr>
          <w:rFonts w:ascii="Times New Roman" w:eastAsia="Times New Roman" w:hAnsi="Times New Roman" w:cs="Times New Roman"/>
          <w:b/>
          <w:sz w:val="24"/>
          <w:szCs w:val="24"/>
        </w:rPr>
        <w:sym w:font="Wingdings" w:char="F0A8"/>
      </w:r>
      <w:r w:rsidR="00342929">
        <w:rPr>
          <w:rFonts w:ascii="Times New Roman" w:eastAsia="MS PGothic" w:hAnsi="Times New Roman" w:cs="Times New Roman"/>
          <w:sz w:val="24"/>
          <w:szCs w:val="24"/>
        </w:rPr>
        <w:t xml:space="preserve"> </w:t>
      </w:r>
      <w:r w:rsidR="00C557FA" w:rsidRPr="00342929">
        <w:rPr>
          <w:rFonts w:ascii="Times New Roman" w:eastAsia="Minion Pro" w:hAnsi="Times New Roman" w:cs="Times New Roman"/>
          <w:sz w:val="24"/>
          <w:szCs w:val="24"/>
        </w:rPr>
        <w:t>Equipment  used  by  inspection  and/or  testing  personnel  must  be  approved  by</w:t>
      </w:r>
      <w:r w:rsidRPr="00342929">
        <w:rPr>
          <w:rFonts w:ascii="Times New Roman" w:eastAsia="Minion Pro" w:hAnsi="Times New Roman" w:cs="Times New Roman"/>
          <w:sz w:val="24"/>
          <w:szCs w:val="24"/>
        </w:rPr>
        <w:t xml:space="preserve"> </w:t>
      </w:r>
      <w:r w:rsidR="00C557FA" w:rsidRPr="00342929">
        <w:rPr>
          <w:rFonts w:ascii="Times New Roman" w:eastAsia="Minion Pro" w:hAnsi="Times New Roman" w:cs="Times New Roman"/>
          <w:b/>
          <w:bCs/>
          <w:sz w:val="24"/>
          <w:szCs w:val="24"/>
        </w:rPr>
        <w:t>[JURISDICTION]</w:t>
      </w:r>
      <w:r w:rsidR="00C557FA" w:rsidRPr="00342929">
        <w:rPr>
          <w:rFonts w:ascii="Times New Roman" w:eastAsia="Minion Pro" w:hAnsi="Times New Roman" w:cs="Times New Roman"/>
          <w:sz w:val="24"/>
          <w:szCs w:val="24"/>
        </w:rPr>
        <w:t>.</w:t>
      </w:r>
    </w:p>
    <w:p w:rsidR="007C6355" w:rsidRPr="00342929" w:rsidRDefault="007C6355" w:rsidP="00342929">
      <w:pPr>
        <w:spacing w:after="0" w:line="240" w:lineRule="auto"/>
        <w:ind w:left="360"/>
        <w:jc w:val="both"/>
      </w:pPr>
    </w:p>
    <w:sectPr w:rsidR="007C6355" w:rsidRPr="00342929" w:rsidSect="00342929">
      <w:headerReference w:type="default" r:id="rId7"/>
      <w:footerReference w:type="default" r:id="rId8"/>
      <w:pgSz w:w="12240" w:h="15840"/>
      <w:pgMar w:top="994" w:right="1260" w:bottom="288" w:left="1440" w:header="6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C5" w:rsidRDefault="00686DC5">
      <w:pPr>
        <w:spacing w:after="0" w:line="240" w:lineRule="auto"/>
      </w:pPr>
      <w:r>
        <w:separator/>
      </w:r>
    </w:p>
  </w:endnote>
  <w:endnote w:type="continuationSeparator" w:id="0">
    <w:p w:rsidR="00686DC5" w:rsidRDefault="0068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E9" w:rsidRDefault="00686DC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C5" w:rsidRDefault="00686DC5">
      <w:pPr>
        <w:spacing w:after="0" w:line="240" w:lineRule="auto"/>
      </w:pPr>
      <w:r>
        <w:separator/>
      </w:r>
    </w:p>
  </w:footnote>
  <w:footnote w:type="continuationSeparator" w:id="0">
    <w:p w:rsidR="00686DC5" w:rsidRDefault="0068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29" w:rsidRPr="00342929" w:rsidRDefault="00342929" w:rsidP="00342929">
    <w:pPr>
      <w:spacing w:before="10" w:after="0" w:line="240" w:lineRule="auto"/>
      <w:ind w:left="462" w:right="60"/>
      <w:jc w:val="right"/>
      <w:rPr>
        <w:rFonts w:ascii="Arial" w:eastAsia="Arial" w:hAnsi="Arial" w:cs="Arial"/>
        <w:sz w:val="20"/>
        <w:szCs w:val="20"/>
      </w:rPr>
    </w:pPr>
    <w:r w:rsidRPr="00342929">
      <w:rPr>
        <w:rFonts w:ascii="Arial" w:eastAsia="Arial" w:hAnsi="Arial" w:cs="Arial"/>
        <w:b/>
        <w:bCs/>
        <w:sz w:val="20"/>
        <w:szCs w:val="20"/>
      </w:rPr>
      <w:t>B</w:t>
    </w:r>
    <w:r w:rsidRPr="00342929">
      <w:rPr>
        <w:rFonts w:ascii="Arial" w:eastAsia="Arial" w:hAnsi="Arial" w:cs="Arial"/>
        <w:b/>
        <w:bCs/>
        <w:spacing w:val="1"/>
        <w:sz w:val="20"/>
        <w:szCs w:val="20"/>
      </w:rPr>
      <w:t>.</w:t>
    </w:r>
    <w:r w:rsidRPr="00342929">
      <w:rPr>
        <w:rFonts w:ascii="Arial" w:eastAsia="Arial" w:hAnsi="Arial" w:cs="Arial"/>
        <w:b/>
        <w:bCs/>
        <w:spacing w:val="-1"/>
        <w:sz w:val="20"/>
        <w:szCs w:val="20"/>
      </w:rPr>
      <w:t>2</w:t>
    </w:r>
    <w:r w:rsidRPr="00342929">
      <w:rPr>
        <w:rFonts w:ascii="Arial" w:eastAsia="Arial" w:hAnsi="Arial" w:cs="Arial"/>
        <w:b/>
        <w:bCs/>
        <w:spacing w:val="1"/>
        <w:sz w:val="20"/>
        <w:szCs w:val="20"/>
      </w:rPr>
      <w:t>.</w:t>
    </w:r>
    <w:r w:rsidRPr="00342929">
      <w:rPr>
        <w:rFonts w:ascii="Arial" w:eastAsia="Arial" w:hAnsi="Arial" w:cs="Arial"/>
        <w:b/>
        <w:bCs/>
        <w:sz w:val="20"/>
        <w:szCs w:val="20"/>
      </w:rPr>
      <w:t>1</w:t>
    </w:r>
    <w:r w:rsidRPr="00342929">
      <w:rPr>
        <w:rFonts w:ascii="Arial" w:eastAsia="Arial" w:hAnsi="Arial" w:cs="Arial"/>
        <w:b/>
        <w:bCs/>
        <w:spacing w:val="-7"/>
        <w:sz w:val="20"/>
        <w:szCs w:val="20"/>
      </w:rPr>
      <w:t xml:space="preserve"> </w:t>
    </w:r>
    <w:r w:rsidRPr="00342929">
      <w:rPr>
        <w:rFonts w:ascii="Arial" w:eastAsia="Arial" w:hAnsi="Arial" w:cs="Arial"/>
        <w:b/>
        <w:bCs/>
        <w:spacing w:val="1"/>
        <w:sz w:val="20"/>
        <w:szCs w:val="20"/>
      </w:rPr>
      <w:t>Appro</w:t>
    </w:r>
    <w:r w:rsidRPr="00342929">
      <w:rPr>
        <w:rFonts w:ascii="Arial" w:eastAsia="Arial" w:hAnsi="Arial" w:cs="Arial"/>
        <w:b/>
        <w:bCs/>
        <w:spacing w:val="-1"/>
        <w:sz w:val="20"/>
        <w:szCs w:val="20"/>
      </w:rPr>
      <w:t>v</w:t>
    </w:r>
    <w:r w:rsidRPr="00342929">
      <w:rPr>
        <w:rFonts w:ascii="Arial" w:eastAsia="Arial" w:hAnsi="Arial" w:cs="Arial"/>
        <w:b/>
        <w:bCs/>
        <w:spacing w:val="1"/>
        <w:sz w:val="20"/>
        <w:szCs w:val="20"/>
      </w:rPr>
      <w:t>a</w:t>
    </w:r>
    <w:r w:rsidRPr="00342929">
      <w:rPr>
        <w:rFonts w:ascii="Arial" w:eastAsia="Arial" w:hAnsi="Arial" w:cs="Arial"/>
        <w:b/>
        <w:bCs/>
        <w:sz w:val="20"/>
        <w:szCs w:val="20"/>
      </w:rPr>
      <w:t>l</w:t>
    </w:r>
    <w:r w:rsidRPr="00342929">
      <w:rPr>
        <w:rFonts w:ascii="Arial" w:eastAsia="Arial" w:hAnsi="Arial" w:cs="Arial"/>
        <w:b/>
        <w:bCs/>
        <w:spacing w:val="-11"/>
        <w:sz w:val="20"/>
        <w:szCs w:val="20"/>
      </w:rPr>
      <w:t xml:space="preserve"> </w:t>
    </w:r>
    <w:r w:rsidRPr="00342929">
      <w:rPr>
        <w:rFonts w:ascii="Arial" w:eastAsia="Arial" w:hAnsi="Arial" w:cs="Arial"/>
        <w:b/>
        <w:bCs/>
        <w:spacing w:val="1"/>
        <w:sz w:val="20"/>
        <w:szCs w:val="20"/>
      </w:rPr>
      <w:t>R</w:t>
    </w:r>
    <w:r w:rsidRPr="00342929">
      <w:rPr>
        <w:rFonts w:ascii="Arial" w:eastAsia="Arial" w:hAnsi="Arial" w:cs="Arial"/>
        <w:b/>
        <w:bCs/>
        <w:spacing w:val="-1"/>
        <w:sz w:val="20"/>
        <w:szCs w:val="20"/>
      </w:rPr>
      <w:t>e</w:t>
    </w:r>
    <w:r w:rsidRPr="00342929">
      <w:rPr>
        <w:rFonts w:ascii="Arial" w:eastAsia="Arial" w:hAnsi="Arial" w:cs="Arial"/>
        <w:b/>
        <w:bCs/>
        <w:spacing w:val="1"/>
        <w:sz w:val="20"/>
        <w:szCs w:val="20"/>
      </w:rPr>
      <w:t>quir</w:t>
    </w:r>
    <w:r w:rsidRPr="00342929">
      <w:rPr>
        <w:rFonts w:ascii="Arial" w:eastAsia="Arial" w:hAnsi="Arial" w:cs="Arial"/>
        <w:b/>
        <w:bCs/>
        <w:spacing w:val="-1"/>
        <w:sz w:val="20"/>
        <w:szCs w:val="20"/>
      </w:rPr>
      <w:t>e</w:t>
    </w:r>
    <w:r w:rsidRPr="00342929">
      <w:rPr>
        <w:rFonts w:ascii="Arial" w:eastAsia="Arial" w:hAnsi="Arial" w:cs="Arial"/>
        <w:b/>
        <w:bCs/>
        <w:spacing w:val="1"/>
        <w:sz w:val="20"/>
        <w:szCs w:val="20"/>
      </w:rPr>
      <w:t>men</w:t>
    </w:r>
    <w:r w:rsidRPr="00342929">
      <w:rPr>
        <w:rFonts w:ascii="Arial" w:eastAsia="Arial" w:hAnsi="Arial" w:cs="Arial"/>
        <w:b/>
        <w:bCs/>
        <w:spacing w:val="-8"/>
        <w:sz w:val="20"/>
        <w:szCs w:val="20"/>
      </w:rPr>
      <w:t>t</w:t>
    </w:r>
    <w:r w:rsidRPr="00342929">
      <w:rPr>
        <w:rFonts w:ascii="Arial" w:eastAsia="Arial" w:hAnsi="Arial" w:cs="Arial"/>
        <w:b/>
        <w:bCs/>
        <w:sz w:val="20"/>
        <w:szCs w:val="20"/>
      </w:rPr>
      <w:t>s</w:t>
    </w:r>
    <w:r w:rsidRPr="00342929">
      <w:rPr>
        <w:rFonts w:ascii="Arial" w:eastAsia="Arial" w:hAnsi="Arial" w:cs="Arial"/>
        <w:b/>
        <w:bCs/>
        <w:spacing w:val="-15"/>
        <w:sz w:val="20"/>
        <w:szCs w:val="20"/>
      </w:rPr>
      <w:t xml:space="preserve"> </w:t>
    </w:r>
    <w:r w:rsidRPr="00342929">
      <w:rPr>
        <w:rFonts w:ascii="Arial" w:eastAsia="Arial" w:hAnsi="Arial" w:cs="Arial"/>
        <w:b/>
        <w:bCs/>
        <w:sz w:val="20"/>
        <w:szCs w:val="20"/>
      </w:rPr>
      <w:t>Ch</w:t>
    </w:r>
    <w:r w:rsidRPr="00342929">
      <w:rPr>
        <w:rFonts w:ascii="Arial" w:eastAsia="Arial" w:hAnsi="Arial" w:cs="Arial"/>
        <w:b/>
        <w:bCs/>
        <w:spacing w:val="1"/>
        <w:sz w:val="20"/>
        <w:szCs w:val="20"/>
      </w:rPr>
      <w:t>e</w:t>
    </w:r>
    <w:r w:rsidRPr="00342929">
      <w:rPr>
        <w:rFonts w:ascii="Arial" w:eastAsia="Arial" w:hAnsi="Arial" w:cs="Arial"/>
        <w:b/>
        <w:bCs/>
        <w:spacing w:val="-1"/>
        <w:sz w:val="20"/>
        <w:szCs w:val="20"/>
      </w:rPr>
      <w:t>c</w:t>
    </w:r>
    <w:r w:rsidRPr="00342929">
      <w:rPr>
        <w:rFonts w:ascii="Arial" w:eastAsia="Arial" w:hAnsi="Arial" w:cs="Arial"/>
        <w:b/>
        <w:bCs/>
        <w:sz w:val="20"/>
        <w:szCs w:val="20"/>
      </w:rPr>
      <w:t>k</w:t>
    </w:r>
    <w:r w:rsidRPr="00342929">
      <w:rPr>
        <w:rFonts w:ascii="Arial" w:eastAsia="Arial" w:hAnsi="Arial" w:cs="Arial"/>
        <w:b/>
        <w:bCs/>
        <w:spacing w:val="-6"/>
        <w:sz w:val="20"/>
        <w:szCs w:val="20"/>
      </w:rPr>
      <w:t xml:space="preserve"> </w:t>
    </w:r>
    <w:r w:rsidRPr="00342929">
      <w:rPr>
        <w:rFonts w:ascii="Arial" w:eastAsia="Arial" w:hAnsi="Arial" w:cs="Arial"/>
        <w:b/>
        <w:bCs/>
        <w:spacing w:val="-1"/>
        <w:sz w:val="20"/>
        <w:szCs w:val="20"/>
      </w:rPr>
      <w:t>S</w:t>
    </w:r>
    <w:r w:rsidRPr="00342929">
      <w:rPr>
        <w:rFonts w:ascii="Arial" w:eastAsia="Arial" w:hAnsi="Arial" w:cs="Arial"/>
        <w:b/>
        <w:bCs/>
        <w:sz w:val="20"/>
        <w:szCs w:val="20"/>
      </w:rPr>
      <w:t>h</w:t>
    </w:r>
    <w:r w:rsidRPr="00342929">
      <w:rPr>
        <w:rFonts w:ascii="Arial" w:eastAsia="Arial" w:hAnsi="Arial" w:cs="Arial"/>
        <w:b/>
        <w:bCs/>
        <w:spacing w:val="1"/>
        <w:sz w:val="20"/>
        <w:szCs w:val="20"/>
      </w:rPr>
      <w:t>e</w:t>
    </w:r>
    <w:r w:rsidRPr="00342929">
      <w:rPr>
        <w:rFonts w:ascii="Arial" w:eastAsia="Arial" w:hAnsi="Arial" w:cs="Arial"/>
        <w:b/>
        <w:bCs/>
        <w:spacing w:val="-1"/>
        <w:sz w:val="20"/>
        <w:szCs w:val="20"/>
      </w:rPr>
      <w:t>e</w:t>
    </w:r>
    <w:r w:rsidRPr="00342929">
      <w:rPr>
        <w:rFonts w:ascii="Arial" w:eastAsia="Arial" w:hAnsi="Arial" w:cs="Arial"/>
        <w:b/>
        <w:bCs/>
        <w:sz w:val="20"/>
        <w:szCs w:val="20"/>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FA"/>
    <w:rsid w:val="00342929"/>
    <w:rsid w:val="00686DC5"/>
    <w:rsid w:val="006F07D3"/>
    <w:rsid w:val="007C6355"/>
    <w:rsid w:val="00C557FA"/>
    <w:rsid w:val="00D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FA"/>
  </w:style>
  <w:style w:type="paragraph" w:styleId="Header">
    <w:name w:val="header"/>
    <w:basedOn w:val="Normal"/>
    <w:link w:val="HeaderChar"/>
    <w:uiPriority w:val="99"/>
    <w:unhideWhenUsed/>
    <w:rsid w:val="00C55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FA"/>
  </w:style>
  <w:style w:type="paragraph" w:styleId="Header">
    <w:name w:val="header"/>
    <w:basedOn w:val="Normal"/>
    <w:link w:val="HeaderChar"/>
    <w:uiPriority w:val="99"/>
    <w:unhideWhenUsed/>
    <w:rsid w:val="00C55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SHyde</dc:creator>
  <cp:lastModifiedBy>SHyde</cp:lastModifiedBy>
  <cp:revision>3</cp:revision>
  <dcterms:created xsi:type="dcterms:W3CDTF">2014-03-25T15:39:00Z</dcterms:created>
  <dcterms:modified xsi:type="dcterms:W3CDTF">2014-04-28T20:32:00Z</dcterms:modified>
</cp:coreProperties>
</file>